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B4B07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1505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C75B3" w:rsidRDefault="001C75B3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08 квітня</w:t>
      </w:r>
      <w:r w:rsidR="00330712">
        <w:rPr>
          <w:bCs/>
        </w:rPr>
        <w:t xml:space="preserve"> </w:t>
      </w:r>
      <w:r w:rsidR="00AD4E5D">
        <w:rPr>
          <w:bCs/>
        </w:rPr>
        <w:t xml:space="preserve"> 202</w:t>
      </w:r>
      <w:r>
        <w:rPr>
          <w:bCs/>
          <w:lang w:val="en-US"/>
        </w:rPr>
        <w:t>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</w:t>
      </w:r>
      <w:r>
        <w:t xml:space="preserve">      </w:t>
      </w:r>
      <w:r w:rsidR="003936F0" w:rsidRPr="00136EF4">
        <w:t xml:space="preserve">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B0711E">
        <w:t xml:space="preserve">   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</w:t>
      </w:r>
      <w:r w:rsidR="009723D5">
        <w:t xml:space="preserve">     </w:t>
      </w:r>
      <w:r w:rsidR="001655EA" w:rsidRPr="00136EF4">
        <w:t xml:space="preserve">№ </w:t>
      </w:r>
      <w:r>
        <w:rPr>
          <w:lang w:val="en-US"/>
        </w:rPr>
        <w:t>202-</w:t>
      </w:r>
      <w:r>
        <w:t>р</w:t>
      </w:r>
    </w:p>
    <w:p w:rsidR="00616B1C" w:rsidRPr="00917471" w:rsidRDefault="00616B1C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330712" w:rsidRPr="00E00741" w:rsidRDefault="00E32FC7" w:rsidP="00330712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794115">
        <w:t>их</w:t>
      </w:r>
      <w:r w:rsidR="008E5CD9" w:rsidRPr="006A4F14">
        <w:t xml:space="preserve"> представник</w:t>
      </w:r>
      <w:r w:rsidR="00794115">
        <w:t>ів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330712">
        <w:t xml:space="preserve">компанії </w:t>
      </w:r>
      <w:r w:rsidR="00330712" w:rsidRPr="00E00741">
        <w:t>«</w:t>
      </w:r>
      <w:proofErr w:type="spellStart"/>
      <w:r w:rsidR="00330712" w:rsidRPr="00E00741">
        <w:t>Nestlé</w:t>
      </w:r>
      <w:proofErr w:type="spellEnd"/>
      <w:r w:rsidR="00330712" w:rsidRPr="00E00741">
        <w:t xml:space="preserve"> S.A.» (м. </w:t>
      </w:r>
      <w:proofErr w:type="spellStart"/>
      <w:r w:rsidR="00330712" w:rsidRPr="00E00741">
        <w:t>Веве</w:t>
      </w:r>
      <w:proofErr w:type="spellEnd"/>
      <w:r w:rsidR="00330712" w:rsidRPr="00E00741">
        <w:t xml:space="preserve">, Швейцарія) на опосередковане </w:t>
      </w:r>
      <w:r w:rsidR="00330712" w:rsidRPr="00EE59B3">
        <w:t>[</w:t>
      </w:r>
      <w:r w:rsidR="00330712" w:rsidRPr="00E00741">
        <w:t>через підконтрольну їй компанію «</w:t>
      </w:r>
      <w:proofErr w:type="spellStart"/>
      <w:r w:rsidR="00330712" w:rsidRPr="00E00741">
        <w:t>Société</w:t>
      </w:r>
      <w:proofErr w:type="spellEnd"/>
      <w:r w:rsidR="00330712" w:rsidRPr="00E00741">
        <w:t xml:space="preserve"> </w:t>
      </w:r>
      <w:proofErr w:type="spellStart"/>
      <w:r w:rsidR="00330712" w:rsidRPr="00E00741">
        <w:t>des</w:t>
      </w:r>
      <w:proofErr w:type="spellEnd"/>
      <w:r w:rsidR="00330712" w:rsidRPr="00E00741">
        <w:t xml:space="preserve"> </w:t>
      </w:r>
      <w:proofErr w:type="spellStart"/>
      <w:r w:rsidR="00330712" w:rsidRPr="00E00741">
        <w:t>Produits</w:t>
      </w:r>
      <w:proofErr w:type="spellEnd"/>
      <w:r w:rsidR="00330712" w:rsidRPr="00E00741">
        <w:t xml:space="preserve"> </w:t>
      </w:r>
      <w:proofErr w:type="spellStart"/>
      <w:r w:rsidR="00330712" w:rsidRPr="00E00741">
        <w:t>Nestlé</w:t>
      </w:r>
      <w:proofErr w:type="spellEnd"/>
      <w:r w:rsidR="00330712" w:rsidRPr="00E00741">
        <w:t xml:space="preserve"> S.A.» (м. </w:t>
      </w:r>
      <w:proofErr w:type="spellStart"/>
      <w:r w:rsidR="00330712" w:rsidRPr="00E00741">
        <w:t>Веве</w:t>
      </w:r>
      <w:proofErr w:type="spellEnd"/>
      <w:r w:rsidR="00330712" w:rsidRPr="00E00741">
        <w:t>, Швейцарія)</w:t>
      </w:r>
      <w:r w:rsidR="00330712" w:rsidRPr="00EE59B3">
        <w:t>]</w:t>
      </w:r>
      <w:r w:rsidR="00330712" w:rsidRPr="00E00741">
        <w:t xml:space="preserve"> придбання акцій компанії «</w:t>
      </w:r>
      <w:r w:rsidR="00330712" w:rsidRPr="00E00741">
        <w:rPr>
          <w:bCs/>
          <w:lang w:val="en-US" w:eastAsia="zh-TW"/>
        </w:rPr>
        <w:t>Islay</w:t>
      </w:r>
      <w:r w:rsidR="00330712" w:rsidRPr="00E00741">
        <w:rPr>
          <w:bCs/>
          <w:lang w:eastAsia="zh-TW"/>
        </w:rPr>
        <w:t xml:space="preserve"> </w:t>
      </w:r>
      <w:r w:rsidR="00330712" w:rsidRPr="00E00741">
        <w:rPr>
          <w:bCs/>
          <w:lang w:val="en-US" w:eastAsia="zh-TW"/>
        </w:rPr>
        <w:t>New</w:t>
      </w:r>
      <w:r w:rsidR="00330712" w:rsidRPr="00E00741">
        <w:rPr>
          <w:bCs/>
          <w:lang w:eastAsia="zh-TW"/>
        </w:rPr>
        <w:t xml:space="preserve"> </w:t>
      </w:r>
      <w:r w:rsidR="00330712" w:rsidRPr="00E00741">
        <w:rPr>
          <w:bCs/>
          <w:lang w:val="en-US" w:eastAsia="zh-TW"/>
        </w:rPr>
        <w:t>Group</w:t>
      </w:r>
      <w:r w:rsidR="00330712" w:rsidRPr="00E00741">
        <w:rPr>
          <w:bCs/>
          <w:lang w:eastAsia="zh-TW"/>
        </w:rPr>
        <w:t xml:space="preserve"> </w:t>
      </w:r>
      <w:r w:rsidR="00330712" w:rsidRPr="00E00741">
        <w:rPr>
          <w:bCs/>
          <w:lang w:val="en-US" w:eastAsia="zh-TW"/>
        </w:rPr>
        <w:t>Holding</w:t>
      </w:r>
      <w:r w:rsidR="00330712" w:rsidRPr="00E00741">
        <w:rPr>
          <w:bCs/>
          <w:lang w:eastAsia="zh-TW"/>
        </w:rPr>
        <w:t xml:space="preserve"> </w:t>
      </w:r>
      <w:r w:rsidR="00330712" w:rsidRPr="00E00741">
        <w:rPr>
          <w:bCs/>
          <w:lang w:val="en-US" w:eastAsia="zh-TW"/>
        </w:rPr>
        <w:t>S</w:t>
      </w:r>
      <w:r w:rsidR="00330712" w:rsidRPr="00E00741">
        <w:rPr>
          <w:bCs/>
          <w:lang w:eastAsia="zh-TW"/>
        </w:rPr>
        <w:t>.</w:t>
      </w:r>
      <w:r w:rsidR="00330712" w:rsidRPr="00E00741">
        <w:rPr>
          <w:bCs/>
          <w:lang w:val="en-US" w:eastAsia="zh-TW"/>
        </w:rPr>
        <w:t>A</w:t>
      </w:r>
      <w:r w:rsidR="00330712" w:rsidRPr="00E00741">
        <w:rPr>
          <w:bCs/>
          <w:lang w:eastAsia="zh-TW"/>
        </w:rPr>
        <w:t>.</w:t>
      </w:r>
      <w:r w:rsidR="00330712" w:rsidRPr="00E00741">
        <w:t>» (м. Люксембург, Велике Герцогство Люксембург)</w:t>
      </w:r>
      <w:r w:rsidR="00BE1851">
        <w:t xml:space="preserve"> (далі – Об’єкт придбання).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35608D">
      <w:pPr>
        <w:ind w:firstLine="709"/>
        <w:jc w:val="both"/>
      </w:pPr>
    </w:p>
    <w:p w:rsidR="0035608D" w:rsidRPr="0035608D" w:rsidRDefault="0091502F" w:rsidP="0035608D">
      <w:pPr>
        <w:ind w:firstLine="709"/>
        <w:jc w:val="both"/>
      </w:pPr>
      <w:r>
        <w:t xml:space="preserve">Концентрація полягає у </w:t>
      </w:r>
      <w:r w:rsidR="0035608D">
        <w:t>придбанні компанією</w:t>
      </w:r>
      <w:r w:rsidR="0035608D" w:rsidRPr="00E00741">
        <w:t xml:space="preserve"> «</w:t>
      </w:r>
      <w:proofErr w:type="spellStart"/>
      <w:r w:rsidR="0035608D" w:rsidRPr="00E00741">
        <w:t>Nestlé</w:t>
      </w:r>
      <w:proofErr w:type="spellEnd"/>
      <w:r w:rsidR="0035608D" w:rsidRPr="00E00741">
        <w:t xml:space="preserve"> S.A.» </w:t>
      </w:r>
      <w:r w:rsidR="0035608D">
        <w:t xml:space="preserve"> (</w:t>
      </w:r>
      <w:r w:rsidR="0035608D" w:rsidRPr="00E00741">
        <w:t>опосередкован</w:t>
      </w:r>
      <w:r w:rsidR="0035608D">
        <w:t>о</w:t>
      </w:r>
      <w:r w:rsidR="0035608D" w:rsidRPr="00E00741">
        <w:t xml:space="preserve"> через підконтрольну їй компанію «</w:t>
      </w:r>
      <w:proofErr w:type="spellStart"/>
      <w:r w:rsidR="0035608D" w:rsidRPr="00E00741">
        <w:t>Société</w:t>
      </w:r>
      <w:proofErr w:type="spellEnd"/>
      <w:r w:rsidR="0035608D" w:rsidRPr="00E00741">
        <w:t xml:space="preserve"> </w:t>
      </w:r>
      <w:proofErr w:type="spellStart"/>
      <w:r w:rsidR="0035608D" w:rsidRPr="00E00741">
        <w:t>des</w:t>
      </w:r>
      <w:proofErr w:type="spellEnd"/>
      <w:r w:rsidR="0035608D" w:rsidRPr="00E00741">
        <w:t xml:space="preserve"> </w:t>
      </w:r>
      <w:proofErr w:type="spellStart"/>
      <w:r w:rsidR="0035608D" w:rsidRPr="00E00741">
        <w:t>Produits</w:t>
      </w:r>
      <w:proofErr w:type="spellEnd"/>
      <w:r w:rsidR="0035608D" w:rsidRPr="00E00741">
        <w:t xml:space="preserve"> </w:t>
      </w:r>
      <w:proofErr w:type="spellStart"/>
      <w:r w:rsidR="0035608D" w:rsidRPr="00E00741">
        <w:t>Nestlé</w:t>
      </w:r>
      <w:proofErr w:type="spellEnd"/>
      <w:r w:rsidR="0035608D" w:rsidRPr="00E00741">
        <w:t xml:space="preserve"> S.A.»</w:t>
      </w:r>
      <w:r w:rsidR="0035608D">
        <w:t>)</w:t>
      </w:r>
      <w:r w:rsidR="0035608D" w:rsidRPr="00E00741">
        <w:t xml:space="preserve"> акцій компанії «</w:t>
      </w:r>
      <w:r w:rsidR="0035608D" w:rsidRPr="0035608D">
        <w:t>Islay New Group Holding S.A</w:t>
      </w:r>
      <w:r w:rsidR="0035608D">
        <w:t>.»</w:t>
      </w:r>
      <w:r w:rsidR="0035608D" w:rsidRPr="00E00741">
        <w:t>, що забезпечить перевищення 25 відсотків голосів у вищому органі управління компанії.</w:t>
      </w:r>
    </w:p>
    <w:p w:rsidR="0091502F" w:rsidRPr="00136EF4" w:rsidRDefault="00330712" w:rsidP="0034592E">
      <w:pPr>
        <w:ind w:firstLine="709"/>
        <w:jc w:val="both"/>
      </w:pPr>
      <w:r w:rsidRPr="00136EF4">
        <w:t xml:space="preserve"> </w:t>
      </w: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841A61" w:rsidRDefault="00B667A7" w:rsidP="002867B2">
      <w:pPr>
        <w:tabs>
          <w:tab w:val="left" w:pos="9353"/>
        </w:tabs>
        <w:suppressAutoHyphens/>
        <w:ind w:right="-3" w:firstLine="709"/>
        <w:jc w:val="both"/>
      </w:pPr>
      <w:r>
        <w:rPr>
          <w:bCs/>
        </w:rPr>
        <w:t>компанія «</w:t>
      </w:r>
      <w:r w:rsidR="00841A61" w:rsidRPr="00841A61">
        <w:rPr>
          <w:bCs/>
          <w:lang w:val="en-US"/>
        </w:rPr>
        <w:t>Islay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New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Group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Holding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S</w:t>
      </w:r>
      <w:r w:rsidR="00841A61" w:rsidRPr="00841A61">
        <w:rPr>
          <w:bCs/>
        </w:rPr>
        <w:t>.</w:t>
      </w:r>
      <w:r w:rsidR="00841A61" w:rsidRPr="00841A61">
        <w:rPr>
          <w:bCs/>
          <w:lang w:val="en-US"/>
        </w:rPr>
        <w:t>A</w:t>
      </w:r>
      <w:r w:rsidR="00841A61" w:rsidRPr="00841A61">
        <w:rPr>
          <w:bCs/>
        </w:rPr>
        <w:t>.</w:t>
      </w:r>
      <w:r>
        <w:rPr>
          <w:bCs/>
        </w:rPr>
        <w:t>»</w:t>
      </w:r>
      <w:r w:rsidR="00841A61" w:rsidRPr="008866D8">
        <w:rPr>
          <w:lang w:eastAsia="ar-SA"/>
        </w:rPr>
        <w:t xml:space="preserve"> </w:t>
      </w:r>
      <w:r w:rsidR="00841A61">
        <w:rPr>
          <w:lang w:eastAsia="ar-SA"/>
        </w:rPr>
        <w:t xml:space="preserve">на світовому рівні є холдинговою компанією спеціального </w:t>
      </w:r>
      <w:r w:rsidR="00841A61" w:rsidRPr="0017105A">
        <w:rPr>
          <w:lang w:eastAsia="ar-SA"/>
        </w:rPr>
        <w:t>призначення, в Україні не веде господарську діяльність</w:t>
      </w:r>
      <w:r w:rsidR="00841A61" w:rsidRPr="0017105A">
        <w:t>.</w:t>
      </w:r>
      <w:r w:rsidR="002867B2">
        <w:t xml:space="preserve"> </w:t>
      </w:r>
      <w:r w:rsidR="00841A61">
        <w:rPr>
          <w:bCs/>
        </w:rPr>
        <w:t xml:space="preserve">Перед здійсненням </w:t>
      </w:r>
      <w:r w:rsidR="00841A61" w:rsidRPr="00841A61">
        <w:rPr>
          <w:bCs/>
        </w:rPr>
        <w:t xml:space="preserve">концентрації </w:t>
      </w:r>
      <w:r w:rsidR="00841A61" w:rsidRPr="00841A61">
        <w:rPr>
          <w:bCs/>
          <w:lang w:val="en-US"/>
        </w:rPr>
        <w:t>Islay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New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Group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Holding</w:t>
      </w:r>
      <w:r w:rsidR="00841A61" w:rsidRPr="00841A61">
        <w:rPr>
          <w:bCs/>
        </w:rPr>
        <w:t xml:space="preserve"> </w:t>
      </w:r>
      <w:r w:rsidR="00841A61" w:rsidRPr="00841A61">
        <w:rPr>
          <w:bCs/>
          <w:lang w:val="en-US"/>
        </w:rPr>
        <w:t>S</w:t>
      </w:r>
      <w:r w:rsidR="00841A61" w:rsidRPr="00841A61">
        <w:rPr>
          <w:bCs/>
        </w:rPr>
        <w:t>.</w:t>
      </w:r>
      <w:r w:rsidR="00841A61" w:rsidRPr="00841A61">
        <w:rPr>
          <w:bCs/>
          <w:lang w:val="en-US"/>
        </w:rPr>
        <w:t>A</w:t>
      </w:r>
      <w:r w:rsidR="00841A61" w:rsidRPr="00841A61">
        <w:rPr>
          <w:bCs/>
        </w:rPr>
        <w:t>. стане материнською компанією для групи компаній (нерезидент</w:t>
      </w:r>
      <w:r>
        <w:rPr>
          <w:bCs/>
        </w:rPr>
        <w:t>ів</w:t>
      </w:r>
      <w:r w:rsidR="00841A61" w:rsidRPr="00841A61">
        <w:rPr>
          <w:bCs/>
        </w:rPr>
        <w:t xml:space="preserve"> України), що</w:t>
      </w:r>
      <w:r w:rsidR="00841A61">
        <w:rPr>
          <w:bCs/>
        </w:rPr>
        <w:t xml:space="preserve"> надають ветеринарні послуги для дрібних тварин, сільськогосподарських тварин і коней, що включають такі види діяльності: (і) охорона здоров’я, та лікування домашніх тварин, (іі) послуги крематоріїв,    (ііі) охорона здоров’я та лікування сільськогосподарських тварин і коней; (і</w:t>
      </w:r>
      <w:r w:rsidR="00841A61">
        <w:rPr>
          <w:bCs/>
          <w:lang w:val="en-US"/>
        </w:rPr>
        <w:t>v</w:t>
      </w:r>
      <w:r w:rsidR="00841A61" w:rsidRPr="00A74883">
        <w:rPr>
          <w:bCs/>
        </w:rPr>
        <w:t>)</w:t>
      </w:r>
      <w:r w:rsidR="00841A61">
        <w:rPr>
          <w:bCs/>
        </w:rPr>
        <w:t xml:space="preserve"> послуги страхування домашніх тварин, (</w:t>
      </w:r>
      <w:r w:rsidR="00841A61">
        <w:rPr>
          <w:bCs/>
          <w:lang w:val="en-US"/>
        </w:rPr>
        <w:t>v</w:t>
      </w:r>
      <w:r w:rsidR="00841A61" w:rsidRPr="00A74883">
        <w:rPr>
          <w:bCs/>
        </w:rPr>
        <w:t>) дистрибуція лікарських препарат</w:t>
      </w:r>
      <w:r w:rsidR="00841A61">
        <w:rPr>
          <w:bCs/>
        </w:rPr>
        <w:t>ів для домашніх тварин у клініках та через інтернет-аптеки; та (</w:t>
      </w:r>
      <w:r w:rsidR="00841A61">
        <w:rPr>
          <w:bCs/>
          <w:lang w:val="en-US"/>
        </w:rPr>
        <w:t>vi</w:t>
      </w:r>
      <w:r w:rsidR="00841A61" w:rsidRPr="00A74883">
        <w:rPr>
          <w:bCs/>
        </w:rPr>
        <w:t>)</w:t>
      </w:r>
      <w:r w:rsidR="00841A61">
        <w:rPr>
          <w:bCs/>
        </w:rPr>
        <w:t xml:space="preserve"> дистрибуція кормів та аксесуарів для домашніх тварин у </w:t>
      </w:r>
      <w:r w:rsidR="00841A61" w:rsidRPr="00841A61">
        <w:rPr>
          <w:bCs/>
        </w:rPr>
        <w:t xml:space="preserve">клініках (група </w:t>
      </w:r>
      <w:r w:rsidR="00841A61" w:rsidRPr="00841A61">
        <w:rPr>
          <w:lang w:val="en-US"/>
        </w:rPr>
        <w:t>IVC</w:t>
      </w:r>
      <w:r w:rsidR="00841A61" w:rsidRPr="00841A61">
        <w:t>).</w:t>
      </w:r>
      <w:r w:rsidR="00841A61">
        <w:t xml:space="preserve"> </w:t>
      </w:r>
      <w:r w:rsidR="00841A61">
        <w:rPr>
          <w:bCs/>
        </w:rPr>
        <w:t>Г</w:t>
      </w:r>
      <w:r w:rsidR="00841A61" w:rsidRPr="00A74883">
        <w:rPr>
          <w:bCs/>
        </w:rPr>
        <w:t xml:space="preserve">рупа </w:t>
      </w:r>
      <w:r w:rsidR="00841A61" w:rsidRPr="00A74883">
        <w:rPr>
          <w:lang w:val="en-US"/>
        </w:rPr>
        <w:t>IVC</w:t>
      </w:r>
      <w:r w:rsidR="00841A61">
        <w:t xml:space="preserve"> не здійснює та не здійснювала господарської діяльності в Україні</w:t>
      </w:r>
      <w:r>
        <w:t>;</w:t>
      </w:r>
    </w:p>
    <w:p w:rsidR="00A86FEB" w:rsidRDefault="00A86FEB" w:rsidP="00A86FEB">
      <w:pPr>
        <w:tabs>
          <w:tab w:val="left" w:pos="9353"/>
        </w:tabs>
        <w:suppressAutoHyphens/>
        <w:ind w:right="-3" w:firstLine="709"/>
        <w:jc w:val="both"/>
      </w:pPr>
      <w:r>
        <w:t>К</w:t>
      </w:r>
      <w:r w:rsidRPr="00C85891">
        <w:t xml:space="preserve">інцевим </w:t>
      </w:r>
      <w:proofErr w:type="spellStart"/>
      <w:r>
        <w:t>бенефіціарним</w:t>
      </w:r>
      <w:proofErr w:type="spellEnd"/>
      <w:r>
        <w:t xml:space="preserve"> власником Об’єкта</w:t>
      </w:r>
      <w:r w:rsidRPr="00C85891">
        <w:t xml:space="preserve"> придбання є компанія «</w:t>
      </w:r>
      <w:r w:rsidRPr="00C85891">
        <w:rPr>
          <w:lang w:val="en-US"/>
        </w:rPr>
        <w:t>EQT</w:t>
      </w:r>
      <w:r w:rsidRPr="00C85891">
        <w:t xml:space="preserve"> </w:t>
      </w:r>
      <w:r w:rsidRPr="00C85891">
        <w:rPr>
          <w:lang w:val="en-US"/>
        </w:rPr>
        <w:t>AB</w:t>
      </w:r>
      <w:r w:rsidRPr="00C85891">
        <w:t xml:space="preserve">», яка є глобальною інвестиційною організацією, що володіє портфельним компаніями в Європі, Азійсько-Тихоокеанському регіоні та Північній Америці, та разом з іншими суб’єктами господарювання утворює Групу </w:t>
      </w:r>
      <w:r w:rsidRPr="00C85891">
        <w:rPr>
          <w:lang w:val="en-US"/>
        </w:rPr>
        <w:t>EQT</w:t>
      </w:r>
      <w:r>
        <w:t>;</w:t>
      </w:r>
    </w:p>
    <w:p w:rsidR="007D1E2C" w:rsidRPr="007D1E2C" w:rsidRDefault="007D1E2C" w:rsidP="007D1E2C">
      <w:pPr>
        <w:tabs>
          <w:tab w:val="left" w:pos="9353"/>
        </w:tabs>
        <w:suppressAutoHyphens/>
        <w:ind w:right="-3" w:firstLine="709"/>
        <w:jc w:val="both"/>
      </w:pPr>
      <w:r w:rsidRPr="007D1E2C">
        <w:t xml:space="preserve">Група </w:t>
      </w:r>
      <w:r w:rsidRPr="007D1E2C">
        <w:rPr>
          <w:lang w:val="en-US"/>
        </w:rPr>
        <w:t>EQT</w:t>
      </w:r>
      <w:r w:rsidRPr="007D1E2C">
        <w:t xml:space="preserve"> здійснює діяльність на території України через:</w:t>
      </w:r>
    </w:p>
    <w:p w:rsidR="007D1E2C" w:rsidRDefault="007D1E2C" w:rsidP="007D1E2C">
      <w:pPr>
        <w:tabs>
          <w:tab w:val="left" w:pos="9353"/>
        </w:tabs>
        <w:suppressAutoHyphens/>
        <w:ind w:right="-3" w:firstLine="709"/>
        <w:jc w:val="both"/>
      </w:pPr>
      <w:r>
        <w:t>резидентів України</w:t>
      </w:r>
      <w:r w:rsidRPr="00C85891">
        <w:t xml:space="preserve"> з</w:t>
      </w:r>
      <w:r>
        <w:t>:</w:t>
      </w:r>
      <w:r w:rsidRPr="00C85891">
        <w:t xml:space="preserve"> дистрибуції слухових апаратів </w:t>
      </w:r>
      <w:proofErr w:type="spellStart"/>
      <w:r w:rsidRPr="00C85891">
        <w:rPr>
          <w:lang w:val="en-US"/>
        </w:rPr>
        <w:t>Widex</w:t>
      </w:r>
      <w:proofErr w:type="spellEnd"/>
      <w:r w:rsidRPr="00C85891">
        <w:t xml:space="preserve"> та аксесуарів до них оптом та вроздріб, надання послуг з діагностики слуху; </w:t>
      </w:r>
      <w:r>
        <w:t xml:space="preserve">надання послуг з управління об’єктами, включаючи технічне управління об’єктами; комерційного управління об’єктами, обслуговування інфраструктури (харчування, прибирання); консультаційні та інформаційні послуги для отримання візи; </w:t>
      </w:r>
      <w:r w:rsidRPr="00C85891">
        <w:t xml:space="preserve">розробки та підтримки програмного забезпечення для цифрового маркетингу та управління досвідом </w:t>
      </w:r>
      <w:r>
        <w:t>споживачів</w:t>
      </w:r>
      <w:r w:rsidRPr="00C85891">
        <w:t xml:space="preserve">, а також  управління хмарними послугами; </w:t>
      </w:r>
      <w:r>
        <w:t xml:space="preserve">дистрибуції </w:t>
      </w:r>
      <w:r w:rsidRPr="00C85891">
        <w:t xml:space="preserve">спеціальних хімічних речовин і харчових інгредієнтів; </w:t>
      </w:r>
    </w:p>
    <w:p w:rsidR="007D1E2C" w:rsidRPr="00DF6F80" w:rsidRDefault="007D1E2C" w:rsidP="007D1E2C">
      <w:pPr>
        <w:tabs>
          <w:tab w:val="left" w:pos="9353"/>
        </w:tabs>
        <w:suppressAutoHyphens/>
        <w:ind w:right="-3" w:firstLine="709"/>
        <w:jc w:val="both"/>
      </w:pPr>
      <w:r>
        <w:t>нерезидентів України з:</w:t>
      </w:r>
      <w:r w:rsidRPr="00C85891">
        <w:t xml:space="preserve"> </w:t>
      </w:r>
      <w:r>
        <w:t>дистрибуції</w:t>
      </w:r>
      <w:r w:rsidRPr="009132C2">
        <w:t xml:space="preserve"> технологічно удосконалених </w:t>
      </w:r>
      <w:r w:rsidRPr="00DF009E">
        <w:t xml:space="preserve">слухових апаратів та пов’язаних послуг під своїми брендами </w:t>
      </w:r>
      <w:proofErr w:type="spellStart"/>
      <w:r w:rsidRPr="00DF009E">
        <w:t>Signia</w:t>
      </w:r>
      <w:proofErr w:type="spellEnd"/>
      <w:r w:rsidRPr="00DF009E">
        <w:t xml:space="preserve">, </w:t>
      </w:r>
      <w:proofErr w:type="spellStart"/>
      <w:r w:rsidRPr="00DF009E">
        <w:t>Widex</w:t>
      </w:r>
      <w:proofErr w:type="spellEnd"/>
      <w:r w:rsidRPr="00DF009E">
        <w:t xml:space="preserve">, </w:t>
      </w:r>
      <w:proofErr w:type="spellStart"/>
      <w:r w:rsidRPr="00DF009E">
        <w:t>Rexton</w:t>
      </w:r>
      <w:proofErr w:type="spellEnd"/>
      <w:r w:rsidRPr="00DF009E">
        <w:t xml:space="preserve">, </w:t>
      </w:r>
      <w:proofErr w:type="spellStart"/>
      <w:r w:rsidRPr="00DF009E">
        <w:t>Audio</w:t>
      </w:r>
      <w:proofErr w:type="spellEnd"/>
      <w:r w:rsidRPr="00DF009E">
        <w:t xml:space="preserve"> </w:t>
      </w:r>
      <w:proofErr w:type="spellStart"/>
      <w:r w:rsidRPr="00DF009E">
        <w:t>Service</w:t>
      </w:r>
      <w:proofErr w:type="spellEnd"/>
      <w:r w:rsidRPr="00DF009E">
        <w:t xml:space="preserve"> тощо; </w:t>
      </w:r>
      <w:r>
        <w:t>постачання</w:t>
      </w:r>
      <w:r w:rsidRPr="00DF009E">
        <w:t xml:space="preserve"> послу</w:t>
      </w:r>
      <w:r>
        <w:t xml:space="preserve">г </w:t>
      </w:r>
      <w:r w:rsidRPr="00DF009E">
        <w:t>з нерухом</w:t>
      </w:r>
      <w:r>
        <w:t>ості, будівництва та обслуговування об’єктів (</w:t>
      </w:r>
      <w:r w:rsidRPr="00DF009E">
        <w:t xml:space="preserve">переважно в </w:t>
      </w:r>
      <w:r w:rsidRPr="00DF009E">
        <w:lastRenderedPageBreak/>
        <w:t>Німеччині, Австрії, Швейцарії та Великобританії</w:t>
      </w:r>
      <w:r>
        <w:t xml:space="preserve">); </w:t>
      </w:r>
      <w:r w:rsidRPr="003F10DA">
        <w:t>постачання технологій та послуг з модельно-обґрунтованої розробки лікарських засобів, програмного забезпечення у сфері стандартизації, управління склад</w:t>
      </w:r>
      <w:r>
        <w:t>а</w:t>
      </w:r>
      <w:r w:rsidRPr="003F10DA">
        <w:t>ння</w:t>
      </w:r>
      <w:r>
        <w:t>м</w:t>
      </w:r>
      <w:r w:rsidRPr="003F10DA">
        <w:t xml:space="preserve"> та подання</w:t>
      </w:r>
      <w:r>
        <w:t>м</w:t>
      </w:r>
      <w:r w:rsidRPr="003F10DA">
        <w:t xml:space="preserve"> документації та послуг</w:t>
      </w:r>
      <w:r>
        <w:t xml:space="preserve"> з</w:t>
      </w:r>
      <w:r w:rsidRPr="003F10DA">
        <w:t xml:space="preserve"> покращення клінічних результатів</w:t>
      </w:r>
      <w:r>
        <w:t>; постачання</w:t>
      </w:r>
      <w:r w:rsidRPr="002C2E08">
        <w:t xml:space="preserve"> високоякісних чоловічих сорочок і пов'язаних з ними аксесуарів (краваток, краваток-метеликів, запонок тощо)</w:t>
      </w:r>
      <w:r>
        <w:t xml:space="preserve">; постачання послуг з </w:t>
      </w:r>
      <w:r w:rsidRPr="005C7077">
        <w:t>аутсорсингу візових процесів для урядів та дипломатичних представництв по всьому світу</w:t>
      </w:r>
      <w:r>
        <w:t xml:space="preserve">, </w:t>
      </w:r>
      <w:r w:rsidRPr="005C7077">
        <w:t>надання послуг з посвідчення особи та інших послуг для громадян</w:t>
      </w:r>
      <w:r>
        <w:t xml:space="preserve">; постачання програмного забезпечення для управління цифровим досвідом; надання послуг зі створення музики; постачання послуг по управлінню бізнес ризиками та забезпеченню стійкості (оцінка системи поставок, консалтинг, аналітика); постачання програмного забезпечення для бізнесу; розробки та продажу фармацевтичної продукції аптекам та в сектор охорони здоров’я (рецептурні та </w:t>
      </w:r>
      <w:proofErr w:type="spellStart"/>
      <w:r>
        <w:t>безрецептурні</w:t>
      </w:r>
      <w:proofErr w:type="spellEnd"/>
      <w:r>
        <w:t xml:space="preserve"> лікарські засоби, запатентовані та ліцензійні медичні вироби); просування на ринку, продажу, </w:t>
      </w:r>
      <w:r w:rsidRPr="00604343">
        <w:t>надання підтримки та послуг щодо програмних рішень з відкритим кодом з фокусом на операційних системах для серверів та іншому інфраструктурному програмному забезпеченні</w:t>
      </w:r>
      <w:r>
        <w:t xml:space="preserve">; реалізації гумових чобіт; реалізації медичних пристроїв (реконструктивні ортопедичні рішення для хірургів); реалізації фармацевтичних засобів по догляду за шкірою; постачання програмного забезпечення для прийняття рішень для операцій на морі та на суші (засноване на погоді); </w:t>
      </w:r>
      <w:r w:rsidRPr="00067687">
        <w:t>постача</w:t>
      </w:r>
      <w:r>
        <w:t xml:space="preserve">ння </w:t>
      </w:r>
      <w:r w:rsidRPr="00067687">
        <w:t>гнучких та високоякісних рішень для автоматизації складних виробничих та випробувальних процесів</w:t>
      </w:r>
      <w:r>
        <w:t xml:space="preserve">; </w:t>
      </w:r>
      <w:r w:rsidRPr="00067687">
        <w:t>постача</w:t>
      </w:r>
      <w:r>
        <w:t>ння</w:t>
      </w:r>
      <w:r w:rsidRPr="00067687">
        <w:t xml:space="preserve"> обладнання та послуг з визначення температури, тиску і вологості для фармацевтичної, медичної та харчової промисловості</w:t>
      </w:r>
      <w:r>
        <w:t xml:space="preserve">; </w:t>
      </w:r>
      <w:r w:rsidRPr="00FA59E4">
        <w:t>переробк</w:t>
      </w:r>
      <w:r>
        <w:t xml:space="preserve">и </w:t>
      </w:r>
      <w:r w:rsidRPr="00FA59E4">
        <w:t>і упаковк</w:t>
      </w:r>
      <w:r>
        <w:t>и</w:t>
      </w:r>
      <w:r w:rsidRPr="00FA59E4">
        <w:t xml:space="preserve"> харчових продуктів, обробк</w:t>
      </w:r>
      <w:r>
        <w:t>и</w:t>
      </w:r>
      <w:r w:rsidRPr="00FA59E4">
        <w:t xml:space="preserve"> матеріалів, обробк</w:t>
      </w:r>
      <w:r>
        <w:t>и</w:t>
      </w:r>
      <w:r w:rsidRPr="00FA59E4">
        <w:t xml:space="preserve"> та упаковк</w:t>
      </w:r>
      <w:r>
        <w:t>и</w:t>
      </w:r>
      <w:r w:rsidRPr="00FA59E4">
        <w:t xml:space="preserve"> в сфері біологічних наук, </w:t>
      </w:r>
      <w:r>
        <w:t>продажу</w:t>
      </w:r>
      <w:r w:rsidRPr="00FA59E4">
        <w:t xml:space="preserve"> споживч</w:t>
      </w:r>
      <w:r>
        <w:t>их</w:t>
      </w:r>
      <w:r w:rsidRPr="00FA59E4">
        <w:t xml:space="preserve"> товар</w:t>
      </w:r>
      <w:r>
        <w:t>ів; надання послуг</w:t>
      </w:r>
      <w:r w:rsidRPr="00C30E2B">
        <w:t xml:space="preserve"> цифрового візуального контенту, графічного дизайну в інтернеті та цифрового медіа простору</w:t>
      </w:r>
      <w:r>
        <w:t xml:space="preserve">; </w:t>
      </w:r>
      <w:r w:rsidRPr="00FD4866">
        <w:t>розроб</w:t>
      </w:r>
      <w:r>
        <w:t>ки</w:t>
      </w:r>
      <w:r w:rsidRPr="00FD4866">
        <w:t>, вироб</w:t>
      </w:r>
      <w:r>
        <w:t>ництва</w:t>
      </w:r>
      <w:r w:rsidRPr="00FD4866">
        <w:t xml:space="preserve"> та розповсюдж</w:t>
      </w:r>
      <w:r>
        <w:t>ення</w:t>
      </w:r>
      <w:r w:rsidRPr="00FD4866">
        <w:t xml:space="preserve"> антисепти</w:t>
      </w:r>
      <w:r>
        <w:t>ків</w:t>
      </w:r>
      <w:r w:rsidRPr="00FD4866">
        <w:t xml:space="preserve"> для догляду за ранами, дезінфікуюч</w:t>
      </w:r>
      <w:r>
        <w:t>их</w:t>
      </w:r>
      <w:r w:rsidRPr="00FD4866">
        <w:t xml:space="preserve"> засоб</w:t>
      </w:r>
      <w:r>
        <w:t>ів</w:t>
      </w:r>
      <w:r w:rsidRPr="00FD4866">
        <w:t>, медичн</w:t>
      </w:r>
      <w:r>
        <w:t>их</w:t>
      </w:r>
      <w:r w:rsidRPr="00FD4866">
        <w:t xml:space="preserve"> та косметичн</w:t>
      </w:r>
      <w:r>
        <w:t>их</w:t>
      </w:r>
      <w:r w:rsidRPr="00FD4866">
        <w:t xml:space="preserve"> засоб</w:t>
      </w:r>
      <w:r>
        <w:t>ів</w:t>
      </w:r>
      <w:r w:rsidRPr="00FD4866">
        <w:t xml:space="preserve"> для догляду за шкірою та попереджувальн</w:t>
      </w:r>
      <w:r>
        <w:t>их</w:t>
      </w:r>
      <w:r w:rsidRPr="00FD4866">
        <w:t xml:space="preserve"> засоб</w:t>
      </w:r>
      <w:r>
        <w:t>ів; надання</w:t>
      </w:r>
      <w:r w:rsidRPr="005A5FBC">
        <w:t xml:space="preserve"> репродуктивн</w:t>
      </w:r>
      <w:r>
        <w:t>их</w:t>
      </w:r>
      <w:r w:rsidRPr="005A5FBC">
        <w:t xml:space="preserve"> генетичн</w:t>
      </w:r>
      <w:r>
        <w:t>их</w:t>
      </w:r>
      <w:r w:rsidRPr="005A5FBC">
        <w:t xml:space="preserve"> послуг</w:t>
      </w:r>
      <w:r>
        <w:t xml:space="preserve"> (</w:t>
      </w:r>
      <w:r w:rsidRPr="005A5FBC">
        <w:t>ЕКЗ</w:t>
      </w:r>
      <w:r>
        <w:t xml:space="preserve">); </w:t>
      </w:r>
      <w:r w:rsidRPr="00DF6F80">
        <w:t xml:space="preserve">реалізації </w:t>
      </w:r>
      <w:proofErr w:type="spellStart"/>
      <w:r w:rsidRPr="00DF6F80">
        <w:t>девелоперських</w:t>
      </w:r>
      <w:proofErr w:type="spellEnd"/>
      <w:r w:rsidRPr="00DF6F80">
        <w:t xml:space="preserve"> проектів постачання та очищення води, екологічних послуг</w:t>
      </w:r>
      <w:r>
        <w:t>.</w:t>
      </w:r>
      <w:r w:rsidRPr="00DF6F80">
        <w:t xml:space="preserve"> </w:t>
      </w:r>
    </w:p>
    <w:p w:rsidR="00A86FEB" w:rsidRPr="00DF6F80" w:rsidRDefault="00A86FEB" w:rsidP="00B667A7">
      <w:pPr>
        <w:tabs>
          <w:tab w:val="left" w:pos="9353"/>
        </w:tabs>
        <w:suppressAutoHyphens/>
        <w:ind w:right="-3" w:firstLine="709"/>
        <w:jc w:val="both"/>
      </w:pPr>
    </w:p>
    <w:p w:rsidR="009E52BE" w:rsidRDefault="00B667A7" w:rsidP="00B667A7">
      <w:pPr>
        <w:tabs>
          <w:tab w:val="left" w:pos="9353"/>
        </w:tabs>
        <w:suppressAutoHyphens/>
        <w:ind w:right="-3" w:firstLine="709"/>
        <w:jc w:val="both"/>
      </w:pPr>
      <w:r>
        <w:t>компанія «</w:t>
      </w:r>
      <w:proofErr w:type="spellStart"/>
      <w:r w:rsidR="00841A61" w:rsidRPr="00841A61">
        <w:t>Nestlé</w:t>
      </w:r>
      <w:proofErr w:type="spellEnd"/>
      <w:r w:rsidR="00841A61" w:rsidRPr="00841A61">
        <w:t xml:space="preserve"> S.A.</w:t>
      </w:r>
      <w:r>
        <w:t>»</w:t>
      </w:r>
      <w:r w:rsidR="00841A61" w:rsidRPr="00841A61">
        <w:t xml:space="preserve"> є кінцевою</w:t>
      </w:r>
      <w:r w:rsidR="00841A61">
        <w:t xml:space="preserve"> материнською компанією для групи компаній </w:t>
      </w:r>
      <w:r w:rsidR="009E52BE">
        <w:t xml:space="preserve">   </w:t>
      </w:r>
      <w:r w:rsidR="00841A61">
        <w:t xml:space="preserve">(далі - група </w:t>
      </w:r>
      <w:proofErr w:type="spellStart"/>
      <w:r w:rsidR="00841A61" w:rsidRPr="00247BA8">
        <w:t>Nestlé</w:t>
      </w:r>
      <w:proofErr w:type="spellEnd"/>
      <w:r w:rsidR="00841A61">
        <w:t>)</w:t>
      </w:r>
      <w:r w:rsidR="009E52BE">
        <w:t>;</w:t>
      </w:r>
      <w:r w:rsidR="00841A61">
        <w:t xml:space="preserve"> </w:t>
      </w:r>
    </w:p>
    <w:p w:rsidR="00841A61" w:rsidRDefault="009E52BE" w:rsidP="00B667A7">
      <w:pPr>
        <w:tabs>
          <w:tab w:val="left" w:pos="9353"/>
        </w:tabs>
        <w:suppressAutoHyphens/>
        <w:ind w:right="-3" w:firstLine="709"/>
        <w:jc w:val="both"/>
      </w:pPr>
      <w:r>
        <w:t>Г</w:t>
      </w:r>
      <w:r w:rsidR="00841A61">
        <w:t xml:space="preserve">рупа </w:t>
      </w:r>
      <w:proofErr w:type="spellStart"/>
      <w:r w:rsidR="00841A61" w:rsidRPr="00247BA8">
        <w:t>Nestlé</w:t>
      </w:r>
      <w:proofErr w:type="spellEnd"/>
      <w:r w:rsidR="00841A61">
        <w:t xml:space="preserve"> займається виробництвом, маркетингом та реалізацією широкого спектру продуктів харчування та напоїв, в тому числі молочних продуктів; кавових напоїв; упакованої води; круп; кулінарних виробів, зокрема готових продуктів, приправ, соусів та сухих макаронних виробів; морозива; шоколаду і чайних напоїв; кондитерських виробів, закусок та кормів для домашніх тварин, продуктів з охорони здоров’я</w:t>
      </w:r>
      <w:r w:rsidR="00B667A7">
        <w:t>;</w:t>
      </w:r>
    </w:p>
    <w:p w:rsidR="009E52BE" w:rsidRDefault="00B667A7" w:rsidP="00841A61">
      <w:pPr>
        <w:pStyle w:val="Stext2"/>
        <w:spacing w:before="0"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841A61" w:rsidRPr="00FE74B4">
        <w:rPr>
          <w:rFonts w:ascii="Times New Roman" w:hAnsi="Times New Roman"/>
          <w:sz w:val="24"/>
          <w:szCs w:val="24"/>
          <w:lang w:val="uk-UA"/>
        </w:rPr>
        <w:t xml:space="preserve"> Україні </w:t>
      </w:r>
      <w:r w:rsidR="00A86FEB">
        <w:rPr>
          <w:rFonts w:ascii="Times New Roman" w:hAnsi="Times New Roman"/>
          <w:sz w:val="24"/>
          <w:szCs w:val="24"/>
          <w:lang w:val="uk-UA"/>
        </w:rPr>
        <w:t>Група</w:t>
      </w:r>
      <w:r w:rsidR="00841A61" w:rsidRPr="00FE74B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41A61" w:rsidRPr="00FE74B4">
        <w:rPr>
          <w:rFonts w:ascii="Times New Roman" w:hAnsi="Times New Roman"/>
          <w:sz w:val="24"/>
          <w:szCs w:val="24"/>
        </w:rPr>
        <w:t>Nestl</w:t>
      </w:r>
      <w:proofErr w:type="spellEnd"/>
      <w:r w:rsidR="00841A61" w:rsidRPr="00FE74B4">
        <w:rPr>
          <w:rFonts w:ascii="Times New Roman" w:hAnsi="Times New Roman"/>
          <w:sz w:val="24"/>
          <w:szCs w:val="24"/>
          <w:lang w:val="uk-UA"/>
        </w:rPr>
        <w:t xml:space="preserve">é здійснює діяльність </w:t>
      </w:r>
      <w:r w:rsidR="009E52BE">
        <w:rPr>
          <w:rFonts w:ascii="Times New Roman" w:hAnsi="Times New Roman"/>
          <w:sz w:val="24"/>
          <w:szCs w:val="24"/>
          <w:lang w:val="uk-UA"/>
        </w:rPr>
        <w:t xml:space="preserve">через </w:t>
      </w:r>
      <w:r w:rsidR="00A86FEB">
        <w:rPr>
          <w:rFonts w:ascii="Times New Roman" w:hAnsi="Times New Roman"/>
          <w:sz w:val="24"/>
          <w:szCs w:val="24"/>
          <w:lang w:val="uk-UA"/>
        </w:rPr>
        <w:t>суб’єктів</w:t>
      </w:r>
      <w:r w:rsidR="009E52BE">
        <w:rPr>
          <w:rFonts w:ascii="Times New Roman" w:hAnsi="Times New Roman"/>
          <w:sz w:val="24"/>
          <w:szCs w:val="24"/>
          <w:lang w:val="uk-UA"/>
        </w:rPr>
        <w:t xml:space="preserve"> господарювання резидентів України </w:t>
      </w:r>
      <w:r w:rsidR="00841A61" w:rsidRPr="00FE74B4">
        <w:rPr>
          <w:rFonts w:ascii="Times New Roman" w:hAnsi="Times New Roman"/>
          <w:sz w:val="24"/>
          <w:szCs w:val="24"/>
          <w:lang w:val="uk-UA"/>
        </w:rPr>
        <w:t>з</w:t>
      </w:r>
      <w:r w:rsidR="009E52BE">
        <w:rPr>
          <w:rFonts w:ascii="Times New Roman" w:hAnsi="Times New Roman"/>
          <w:sz w:val="24"/>
          <w:szCs w:val="24"/>
          <w:lang w:val="uk-UA"/>
        </w:rPr>
        <w:t>:</w:t>
      </w:r>
      <w:r w:rsidR="00841A61" w:rsidRPr="00FE74B4">
        <w:rPr>
          <w:rFonts w:ascii="Times New Roman" w:hAnsi="Times New Roman"/>
          <w:sz w:val="24"/>
          <w:szCs w:val="24"/>
          <w:lang w:val="uk-UA"/>
        </w:rPr>
        <w:t xml:space="preserve"> дистрибуції кави, напоїв, харчування для домашніх тварин, дитячого харчування, пластівців для сніданку, кулінарних виробів, кондитерських виробів, автомати з продажу продуктів; виробництво холодних соусів; виробництво кондитерських виробів, сухої </w:t>
      </w:r>
      <w:r w:rsidR="00841A61" w:rsidRPr="00816055">
        <w:rPr>
          <w:rFonts w:ascii="Times New Roman" w:hAnsi="Times New Roman"/>
          <w:sz w:val="24"/>
          <w:szCs w:val="24"/>
          <w:lang w:val="uk-UA"/>
        </w:rPr>
        <w:t>кави, вафель, пакування для кави; виробництво пасти, пюре, сухарів</w:t>
      </w:r>
      <w:r w:rsidR="009E52BE">
        <w:rPr>
          <w:rFonts w:ascii="Times New Roman" w:hAnsi="Times New Roman"/>
          <w:sz w:val="24"/>
          <w:szCs w:val="24"/>
          <w:lang w:val="uk-UA"/>
        </w:rPr>
        <w:t>;</w:t>
      </w:r>
      <w:r w:rsidR="00841A61" w:rsidRPr="0081605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41A61" w:rsidRPr="003A0D22" w:rsidRDefault="009E52BE" w:rsidP="009E52BE">
      <w:pPr>
        <w:pStyle w:val="Stext2"/>
        <w:spacing w:before="0"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</w:t>
      </w:r>
      <w:r w:rsidR="00841A61">
        <w:rPr>
          <w:rFonts w:ascii="Times New Roman" w:hAnsi="Times New Roman"/>
          <w:sz w:val="24"/>
          <w:szCs w:val="24"/>
          <w:lang w:val="uk-UA"/>
        </w:rPr>
        <w:t xml:space="preserve">акож група </w:t>
      </w:r>
      <w:r w:rsidR="00841A61" w:rsidRPr="00247BA8">
        <w:rPr>
          <w:rFonts w:ascii="Times New Roman" w:hAnsi="Times New Roman"/>
          <w:sz w:val="24"/>
          <w:szCs w:val="24"/>
        </w:rPr>
        <w:t>Nestlé</w:t>
      </w:r>
      <w:r w:rsidR="00841A61">
        <w:rPr>
          <w:rFonts w:ascii="Times New Roman" w:hAnsi="Times New Roman"/>
          <w:sz w:val="24"/>
          <w:szCs w:val="24"/>
          <w:lang w:val="uk-UA"/>
        </w:rPr>
        <w:t xml:space="preserve"> має філії в Україні:</w:t>
      </w:r>
      <w:r>
        <w:rPr>
          <w:rFonts w:ascii="Times New Roman" w:hAnsi="Times New Roman"/>
          <w:sz w:val="24"/>
          <w:szCs w:val="24"/>
          <w:lang w:val="uk-UA"/>
        </w:rPr>
        <w:t xml:space="preserve"> одна з яких</w:t>
      </w:r>
      <w:r w:rsidR="00841A61">
        <w:rPr>
          <w:rFonts w:ascii="Times New Roman" w:hAnsi="Times New Roman"/>
          <w:sz w:val="24"/>
          <w:szCs w:val="24"/>
          <w:lang w:val="uk-UA"/>
        </w:rPr>
        <w:t xml:space="preserve"> здійснює діяльність з надання послуг компаніям Групи </w:t>
      </w:r>
      <w:r w:rsidR="00841A61" w:rsidRPr="00247BA8">
        <w:rPr>
          <w:rFonts w:ascii="Times New Roman" w:hAnsi="Times New Roman"/>
          <w:sz w:val="24"/>
          <w:szCs w:val="24"/>
        </w:rPr>
        <w:t>Nestlé</w:t>
      </w:r>
      <w:r w:rsidR="00841A61">
        <w:rPr>
          <w:rFonts w:ascii="Times New Roman" w:hAnsi="Times New Roman"/>
          <w:sz w:val="24"/>
          <w:szCs w:val="24"/>
          <w:lang w:val="uk-UA"/>
        </w:rPr>
        <w:t xml:space="preserve"> (бухгалтерські, послуги для персоналу, із закупівель, аудіо цифрових соціальних медіа, служба підтримки фінансових рішень, послуги з тренування та навчання тощо);</w:t>
      </w:r>
      <w:r>
        <w:rPr>
          <w:rFonts w:ascii="Times New Roman" w:hAnsi="Times New Roman"/>
          <w:sz w:val="24"/>
          <w:szCs w:val="24"/>
          <w:lang w:val="uk-UA"/>
        </w:rPr>
        <w:t xml:space="preserve"> інша - </w:t>
      </w:r>
      <w:r w:rsidR="00841A61">
        <w:rPr>
          <w:rFonts w:ascii="Times New Roman" w:hAnsi="Times New Roman"/>
          <w:sz w:val="24"/>
          <w:szCs w:val="24"/>
          <w:lang w:val="uk-UA"/>
        </w:rPr>
        <w:t>не здійснює діяльність.</w:t>
      </w:r>
    </w:p>
    <w:p w:rsidR="00841A61" w:rsidRDefault="00841A61" w:rsidP="000C1EED">
      <w:pPr>
        <w:ind w:firstLine="708"/>
        <w:jc w:val="both"/>
      </w:pPr>
    </w:p>
    <w:p w:rsidR="00C84D1B" w:rsidRDefault="00C84D1B" w:rsidP="000C1EED">
      <w:pPr>
        <w:ind w:firstLine="708"/>
        <w:jc w:val="both"/>
      </w:pPr>
    </w:p>
    <w:p w:rsidR="0091502F" w:rsidRPr="00136EF4" w:rsidRDefault="0091502F" w:rsidP="0091502F">
      <w:pPr>
        <w:ind w:firstLine="708"/>
        <w:jc w:val="both"/>
      </w:pPr>
      <w:r w:rsidRPr="00136EF4">
        <w:t>Заявлен</w:t>
      </w:r>
      <w:r>
        <w:t>а концентрація</w:t>
      </w:r>
      <w:r w:rsidRPr="00136EF4">
        <w:t xml:space="preserve"> не призвод</w:t>
      </w:r>
      <w:r>
        <w:t>и</w:t>
      </w:r>
      <w:r w:rsidRPr="00136EF4">
        <w:t>ть до монополізації чи суттєвого обмеження конкуренції на товарних ринках України.</w:t>
      </w:r>
    </w:p>
    <w:p w:rsidR="0091502F" w:rsidRDefault="0091502F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136EF4">
        <w:lastRenderedPageBreak/>
        <w:t xml:space="preserve">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330712" w:rsidRPr="00E00741" w:rsidRDefault="00330712" w:rsidP="00330712">
      <w:pPr>
        <w:ind w:firstLine="709"/>
        <w:jc w:val="both"/>
      </w:pPr>
      <w:r w:rsidRPr="001526DC">
        <w:t xml:space="preserve">Надати дозвіл </w:t>
      </w:r>
      <w:r>
        <w:t xml:space="preserve">компанії </w:t>
      </w:r>
      <w:r w:rsidRPr="00E00741">
        <w:t>«</w:t>
      </w:r>
      <w:proofErr w:type="spellStart"/>
      <w:r w:rsidRPr="00E00741">
        <w:t>Nestlé</w:t>
      </w:r>
      <w:proofErr w:type="spellEnd"/>
      <w:r w:rsidRPr="00E00741">
        <w:t xml:space="preserve"> S.A.» (м. </w:t>
      </w:r>
      <w:proofErr w:type="spellStart"/>
      <w:r w:rsidRPr="00E00741">
        <w:t>Веве</w:t>
      </w:r>
      <w:proofErr w:type="spellEnd"/>
      <w:r w:rsidRPr="00E00741">
        <w:t xml:space="preserve">, Швейцарія) на опосередковане </w:t>
      </w:r>
      <w:r w:rsidRPr="00EE59B3">
        <w:t>[</w:t>
      </w:r>
      <w:r w:rsidRPr="00E00741">
        <w:t>через підконтрольну їй компанію «</w:t>
      </w:r>
      <w:proofErr w:type="spellStart"/>
      <w:r w:rsidRPr="00E00741">
        <w:t>Société</w:t>
      </w:r>
      <w:proofErr w:type="spellEnd"/>
      <w:r w:rsidRPr="00E00741">
        <w:t xml:space="preserve"> </w:t>
      </w:r>
      <w:proofErr w:type="spellStart"/>
      <w:r w:rsidRPr="00E00741">
        <w:t>des</w:t>
      </w:r>
      <w:proofErr w:type="spellEnd"/>
      <w:r w:rsidRPr="00E00741">
        <w:t xml:space="preserve"> </w:t>
      </w:r>
      <w:proofErr w:type="spellStart"/>
      <w:r w:rsidRPr="00E00741">
        <w:t>Produits</w:t>
      </w:r>
      <w:proofErr w:type="spellEnd"/>
      <w:r w:rsidRPr="00E00741">
        <w:t xml:space="preserve"> </w:t>
      </w:r>
      <w:proofErr w:type="spellStart"/>
      <w:r w:rsidRPr="00E00741">
        <w:t>Nestlé</w:t>
      </w:r>
      <w:proofErr w:type="spellEnd"/>
      <w:r w:rsidRPr="00E00741">
        <w:t xml:space="preserve"> S.A.» (м. </w:t>
      </w:r>
      <w:proofErr w:type="spellStart"/>
      <w:r w:rsidRPr="00E00741">
        <w:t>Веве</w:t>
      </w:r>
      <w:proofErr w:type="spellEnd"/>
      <w:r w:rsidRPr="00E00741">
        <w:t>, Швейцарія)</w:t>
      </w:r>
      <w:r w:rsidRPr="00EE59B3">
        <w:t>]</w:t>
      </w:r>
      <w:r w:rsidRPr="00E00741">
        <w:t xml:space="preserve"> придбання акцій компанії «</w:t>
      </w:r>
      <w:r w:rsidRPr="00E00741">
        <w:rPr>
          <w:bCs/>
          <w:lang w:val="en-US" w:eastAsia="zh-TW"/>
        </w:rPr>
        <w:t>Islay</w:t>
      </w:r>
      <w:r w:rsidRPr="00E00741">
        <w:rPr>
          <w:bCs/>
          <w:lang w:eastAsia="zh-TW"/>
        </w:rPr>
        <w:t xml:space="preserve"> </w:t>
      </w:r>
      <w:r w:rsidRPr="00E00741">
        <w:rPr>
          <w:bCs/>
          <w:lang w:val="en-US" w:eastAsia="zh-TW"/>
        </w:rPr>
        <w:t>New</w:t>
      </w:r>
      <w:r w:rsidRPr="00E00741">
        <w:rPr>
          <w:bCs/>
          <w:lang w:eastAsia="zh-TW"/>
        </w:rPr>
        <w:t xml:space="preserve"> </w:t>
      </w:r>
      <w:r w:rsidRPr="00E00741">
        <w:rPr>
          <w:bCs/>
          <w:lang w:val="en-US" w:eastAsia="zh-TW"/>
        </w:rPr>
        <w:t>Group</w:t>
      </w:r>
      <w:r w:rsidRPr="00E00741">
        <w:rPr>
          <w:bCs/>
          <w:lang w:eastAsia="zh-TW"/>
        </w:rPr>
        <w:t xml:space="preserve"> </w:t>
      </w:r>
      <w:r w:rsidRPr="00E00741">
        <w:rPr>
          <w:bCs/>
          <w:lang w:val="en-US" w:eastAsia="zh-TW"/>
        </w:rPr>
        <w:t>Holding</w:t>
      </w:r>
      <w:r w:rsidRPr="00E00741">
        <w:rPr>
          <w:bCs/>
          <w:lang w:eastAsia="zh-TW"/>
        </w:rPr>
        <w:t xml:space="preserve"> </w:t>
      </w:r>
      <w:r w:rsidRPr="00E00741">
        <w:rPr>
          <w:bCs/>
          <w:lang w:val="en-US" w:eastAsia="zh-TW"/>
        </w:rPr>
        <w:t>S</w:t>
      </w:r>
      <w:r w:rsidRPr="00E00741">
        <w:rPr>
          <w:bCs/>
          <w:lang w:eastAsia="zh-TW"/>
        </w:rPr>
        <w:t>.</w:t>
      </w:r>
      <w:r w:rsidRPr="00E00741">
        <w:rPr>
          <w:bCs/>
          <w:lang w:val="en-US" w:eastAsia="zh-TW"/>
        </w:rPr>
        <w:t>A</w:t>
      </w:r>
      <w:r w:rsidRPr="00E00741">
        <w:rPr>
          <w:bCs/>
          <w:lang w:eastAsia="zh-TW"/>
        </w:rPr>
        <w:t>.</w:t>
      </w:r>
      <w:r w:rsidRPr="00E00741">
        <w:t>» (м. Люксембург, Велике Герцогство Люксембург</w:t>
      </w:r>
      <w:r>
        <w:t>)</w:t>
      </w:r>
      <w:r w:rsidR="005E2389">
        <w:t xml:space="preserve">, </w:t>
      </w:r>
      <w:r w:rsidR="005E2389">
        <w:rPr>
          <w:lang w:eastAsia="zh-TW"/>
        </w:rPr>
        <w:t>що забезпечить перевищення 25 відсотків голосів у вищому органі управління компанії.</w:t>
      </w:r>
    </w:p>
    <w:p w:rsidR="00330712" w:rsidRDefault="00330712" w:rsidP="0091502F">
      <w:pPr>
        <w:ind w:firstLine="709"/>
        <w:jc w:val="both"/>
      </w:pP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91502F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91502F">
        <w:rPr>
          <w:color w:val="000000"/>
        </w:rPr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A562DD">
      <w:headerReference w:type="even" r:id="rId10"/>
      <w:headerReference w:type="default" r:id="rId11"/>
      <w:pgSz w:w="11907" w:h="16840" w:code="9"/>
      <w:pgMar w:top="964" w:right="567" w:bottom="96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3F" w:rsidRDefault="00C2503F">
      <w:r>
        <w:separator/>
      </w:r>
    </w:p>
  </w:endnote>
  <w:endnote w:type="continuationSeparator" w:id="0">
    <w:p w:rsidR="00C2503F" w:rsidRDefault="00C2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3F" w:rsidRDefault="00C2503F">
      <w:r>
        <w:separator/>
      </w:r>
    </w:p>
  </w:footnote>
  <w:footnote w:type="continuationSeparator" w:id="0">
    <w:p w:rsidR="00C2503F" w:rsidRDefault="00C25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2F" w:rsidRDefault="0091502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502F" w:rsidRDefault="009150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2F" w:rsidRDefault="0091502F">
    <w:pPr>
      <w:pStyle w:val="a5"/>
    </w:pPr>
  </w:p>
  <w:p w:rsidR="0091502F" w:rsidRDefault="0091502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4B07">
      <w:rPr>
        <w:rStyle w:val="a6"/>
        <w:noProof/>
      </w:rPr>
      <w:t>3</w:t>
    </w:r>
    <w:r>
      <w:rPr>
        <w:rStyle w:val="a6"/>
      </w:rPr>
      <w:fldChar w:fldCharType="end"/>
    </w:r>
  </w:p>
  <w:p w:rsidR="0091502F" w:rsidRDefault="0091502F">
    <w:pPr>
      <w:pStyle w:val="a5"/>
    </w:pPr>
  </w:p>
  <w:p w:rsidR="0091502F" w:rsidRPr="00B82EE1" w:rsidRDefault="0091502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530A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1A69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6777"/>
    <w:rsid w:val="001B69A7"/>
    <w:rsid w:val="001C3D90"/>
    <w:rsid w:val="001C47C1"/>
    <w:rsid w:val="001C51DC"/>
    <w:rsid w:val="001C7125"/>
    <w:rsid w:val="001C75B3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7B2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0712"/>
    <w:rsid w:val="00332F25"/>
    <w:rsid w:val="00333A94"/>
    <w:rsid w:val="00340213"/>
    <w:rsid w:val="00343796"/>
    <w:rsid w:val="003437D7"/>
    <w:rsid w:val="0034592E"/>
    <w:rsid w:val="00345A7A"/>
    <w:rsid w:val="00347FB3"/>
    <w:rsid w:val="00350CF6"/>
    <w:rsid w:val="00354985"/>
    <w:rsid w:val="00355927"/>
    <w:rsid w:val="0035608D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A7162"/>
    <w:rsid w:val="003B11AE"/>
    <w:rsid w:val="003D2304"/>
    <w:rsid w:val="003D6FBC"/>
    <w:rsid w:val="003E4CFF"/>
    <w:rsid w:val="003E7CB2"/>
    <w:rsid w:val="003F0089"/>
    <w:rsid w:val="003F02B0"/>
    <w:rsid w:val="003F142A"/>
    <w:rsid w:val="003F203B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1AAD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32B22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4730"/>
    <w:rsid w:val="005976A7"/>
    <w:rsid w:val="005A2D50"/>
    <w:rsid w:val="005A4DB6"/>
    <w:rsid w:val="005B1B92"/>
    <w:rsid w:val="005C295B"/>
    <w:rsid w:val="005C4756"/>
    <w:rsid w:val="005D3C9A"/>
    <w:rsid w:val="005D59C5"/>
    <w:rsid w:val="005E2389"/>
    <w:rsid w:val="005F09DC"/>
    <w:rsid w:val="005F1EC1"/>
    <w:rsid w:val="005F2EEB"/>
    <w:rsid w:val="005F5E1A"/>
    <w:rsid w:val="005F680B"/>
    <w:rsid w:val="005F710A"/>
    <w:rsid w:val="006037D4"/>
    <w:rsid w:val="006057C3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86F20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5E37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4115"/>
    <w:rsid w:val="00795DC5"/>
    <w:rsid w:val="007B01E1"/>
    <w:rsid w:val="007B606B"/>
    <w:rsid w:val="007C0B28"/>
    <w:rsid w:val="007C3AA4"/>
    <w:rsid w:val="007C4DA0"/>
    <w:rsid w:val="007C7F57"/>
    <w:rsid w:val="007D1E2C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4E59"/>
    <w:rsid w:val="00807B45"/>
    <w:rsid w:val="008104E9"/>
    <w:rsid w:val="0081262E"/>
    <w:rsid w:val="0081707F"/>
    <w:rsid w:val="00820188"/>
    <w:rsid w:val="0082713F"/>
    <w:rsid w:val="0082791E"/>
    <w:rsid w:val="0083124A"/>
    <w:rsid w:val="00836455"/>
    <w:rsid w:val="00836EEA"/>
    <w:rsid w:val="0084167A"/>
    <w:rsid w:val="00841A61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2710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2F"/>
    <w:rsid w:val="00915030"/>
    <w:rsid w:val="00915CA8"/>
    <w:rsid w:val="00917471"/>
    <w:rsid w:val="00920FDA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73FF"/>
    <w:rsid w:val="0095798B"/>
    <w:rsid w:val="00971FD9"/>
    <w:rsid w:val="009723D5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04"/>
    <w:rsid w:val="009C6A90"/>
    <w:rsid w:val="009D122E"/>
    <w:rsid w:val="009D4A1F"/>
    <w:rsid w:val="009D5D04"/>
    <w:rsid w:val="009E033F"/>
    <w:rsid w:val="009E10E6"/>
    <w:rsid w:val="009E4615"/>
    <w:rsid w:val="009E52BE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562DD"/>
    <w:rsid w:val="00A66F99"/>
    <w:rsid w:val="00A707BC"/>
    <w:rsid w:val="00A83C7A"/>
    <w:rsid w:val="00A85034"/>
    <w:rsid w:val="00A86FEB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0711E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667A7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E1851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503F"/>
    <w:rsid w:val="00C27315"/>
    <w:rsid w:val="00C3322D"/>
    <w:rsid w:val="00C4440C"/>
    <w:rsid w:val="00C45A98"/>
    <w:rsid w:val="00C525DD"/>
    <w:rsid w:val="00C52F7C"/>
    <w:rsid w:val="00C54562"/>
    <w:rsid w:val="00C54796"/>
    <w:rsid w:val="00C55F41"/>
    <w:rsid w:val="00C634DF"/>
    <w:rsid w:val="00C82038"/>
    <w:rsid w:val="00C823BD"/>
    <w:rsid w:val="00C82ACB"/>
    <w:rsid w:val="00C84D1B"/>
    <w:rsid w:val="00C90E6C"/>
    <w:rsid w:val="00C94093"/>
    <w:rsid w:val="00C9486E"/>
    <w:rsid w:val="00C94974"/>
    <w:rsid w:val="00C97899"/>
    <w:rsid w:val="00CA0CEE"/>
    <w:rsid w:val="00CA6B22"/>
    <w:rsid w:val="00CA6DF6"/>
    <w:rsid w:val="00CB2CF3"/>
    <w:rsid w:val="00CC0ED6"/>
    <w:rsid w:val="00CC2672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D3BE3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486A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B4B07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customStyle="1" w:styleId="Stext2">
    <w:name w:val="S_text 2"/>
    <w:basedOn w:val="a"/>
    <w:link w:val="Stext2Char"/>
    <w:qFormat/>
    <w:rsid w:val="00841A61"/>
    <w:pPr>
      <w:tabs>
        <w:tab w:val="left" w:pos="680"/>
      </w:tabs>
      <w:spacing w:before="120" w:after="60" w:line="280" w:lineRule="atLeast"/>
      <w:ind w:left="680"/>
      <w:jc w:val="both"/>
    </w:pPr>
    <w:rPr>
      <w:rFonts w:ascii="Verdana" w:hAnsi="Verdana"/>
      <w:sz w:val="20"/>
      <w:szCs w:val="20"/>
      <w:lang w:val="de-AT" w:eastAsia="zh-TW"/>
    </w:rPr>
  </w:style>
  <w:style w:type="character" w:customStyle="1" w:styleId="Stext2Char">
    <w:name w:val="S_text 2 Char"/>
    <w:link w:val="Stext2"/>
    <w:locked/>
    <w:rsid w:val="00841A61"/>
    <w:rPr>
      <w:rFonts w:ascii="Verdana" w:hAnsi="Verdana"/>
      <w:lang w:val="de-AT" w:eastAsia="zh-TW"/>
    </w:rPr>
  </w:style>
  <w:style w:type="paragraph" w:styleId="ae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,Parágrafo da Lista1"/>
    <w:basedOn w:val="a"/>
    <w:link w:val="af"/>
    <w:uiPriority w:val="34"/>
    <w:qFormat/>
    <w:rsid w:val="003560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e"/>
    <w:uiPriority w:val="34"/>
    <w:qFormat/>
    <w:rsid w:val="0035608D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customStyle="1" w:styleId="Stext2">
    <w:name w:val="S_text 2"/>
    <w:basedOn w:val="a"/>
    <w:link w:val="Stext2Char"/>
    <w:qFormat/>
    <w:rsid w:val="00841A61"/>
    <w:pPr>
      <w:tabs>
        <w:tab w:val="left" w:pos="680"/>
      </w:tabs>
      <w:spacing w:before="120" w:after="60" w:line="280" w:lineRule="atLeast"/>
      <w:ind w:left="680"/>
      <w:jc w:val="both"/>
    </w:pPr>
    <w:rPr>
      <w:rFonts w:ascii="Verdana" w:hAnsi="Verdana"/>
      <w:sz w:val="20"/>
      <w:szCs w:val="20"/>
      <w:lang w:val="de-AT" w:eastAsia="zh-TW"/>
    </w:rPr>
  </w:style>
  <w:style w:type="character" w:customStyle="1" w:styleId="Stext2Char">
    <w:name w:val="S_text 2 Char"/>
    <w:link w:val="Stext2"/>
    <w:locked/>
    <w:rsid w:val="00841A61"/>
    <w:rPr>
      <w:rFonts w:ascii="Verdana" w:hAnsi="Verdana"/>
      <w:lang w:val="de-AT" w:eastAsia="zh-TW"/>
    </w:rPr>
  </w:style>
  <w:style w:type="paragraph" w:styleId="ae">
    <w:name w:val="List Paragraph"/>
    <w:aliases w:val="#Listenabsatz,PBM ART,Normal mit Aufzählung a),Normal mit Aufzahlung a),????? ??????,Bullet List,FooterText,numbered,Paragraphe de liste1,Bulletr List Paragraph,列出段落,列出段落1,List Paragraph2,List Paragraph21,Párrafo de lista1,Parágrafo da Lista1"/>
    <w:basedOn w:val="a"/>
    <w:link w:val="af"/>
    <w:uiPriority w:val="34"/>
    <w:qFormat/>
    <w:rsid w:val="003560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aliases w:val="#Listenabsatz Знак,PBM ART Знак,Normal mit Aufzählung a) Знак,Normal mit Aufzahlung a) Знак,List Paragraph Знак,????? ?????? Знак,Bullet List Знак,FooterText Знак,numbered Знак,Paragraphe de liste1 Знак,Bulletr List Paragraph Знак"/>
    <w:link w:val="ae"/>
    <w:uiPriority w:val="34"/>
    <w:qFormat/>
    <w:rsid w:val="0035608D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43CAC-35AD-41C6-B657-2EDA382D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6906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2020-08-13T05:18:00Z</cp:lastPrinted>
  <dcterms:created xsi:type="dcterms:W3CDTF">2021-04-19T10:05:00Z</dcterms:created>
  <dcterms:modified xsi:type="dcterms:W3CDTF">2021-04-19T10:05:00Z</dcterms:modified>
</cp:coreProperties>
</file>